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176</w:t>
      </w:r>
    </w:p>
    <w:p>
      <w:r>
        <w:t>Bundesgericht (BGE), 2002-04-30, DE</w:t>
      </w:r>
    </w:p>
    <w:p>
      <w:r>
        <w:rPr>
          <w:b/>
        </w:rPr>
        <w:t xml:space="preserve">Quelle: </w:t>
      </w:r>
      <w:r>
        <w:t>https://mcp.opencaselaw.ch/entscheid/bge_128 V 176</w:t>
      </w:r>
    </w:p>
    <w:p>
      <w:r>
        <w:t>FR: ATF 128 V 176</w:t>
      </w:r>
    </w:p>
    <w:p>
      <w:r>
        <w:t>IT: DTF 128 V 176</w:t>
      </w:r>
    </w:p>
    <w:p>
      <w:pPr>
        <w:pStyle w:val="Heading2"/>
      </w:pPr>
      <w:r>
        <w:t>Regeste</w:t>
      </w:r>
    </w:p>
    <w:p>
      <w:r>
        <w:t>Regeste Art. 11 Abs. 3 AVIG; Art. 3 Abs. 2 UVG; Art. 7 Abs. 1 lit. b UVV: Anrechenbarer Arbeitsausfall. - Leistungen einer Kollektiv-Krankentaggeldversicherung nach VVG stellen nicht Lohn- oder Entschädigungsansprüche im Sinne von Art. 11 Abs. 3 AVIG dar, weshalb sie der Anrechenbarkeit eines Arbeitsausfalles nicht entgegenstehen. - Art. 7 Abs. 1 lit. b UVV ändert daran nichts, da bei der Beurteilung der Anspruchsberechtigung im Sinne von Art. 11 Abs. 3 AVIG rechtsprechungsgemäss auf die AHV-Gesetzgebung abzustellen ist und auf Grund von Art. 6 Abs. 2 lit. b AHVV Leistungen für krankheits- oder unfallbedingten Lohnausfall, welche betriebsfremde Versicherungen erbringen, nicht zum beitragspflichtigen Erwerbseinkommen gehören.</w:t>
      </w:r>
    </w:p>
    <w:p>
      <w:pPr>
        <w:pStyle w:val="Heading2"/>
      </w:pPr>
      <w:r>
        <w:t>Erwägungen</w:t>
      </w:r>
    </w:p>
    <w:p>
      <w:r>
        <w:rPr>
          <w:b/>
        </w:rPr>
        <w:t>E. 1</w:t>
      </w:r>
    </w:p>
    <w:p>
      <w:r>
        <w:t>Der Anspruch auf Arbeitslosenentschädigung setzt unter anderem auch einen anrechenbaren Arbeitsausfall voraus ( Art. 8 Abs. 1 lit. b AVIG ). Nicht anrechenbar ist ein Arbeitsausfall, für den dem Arbeitslosen Lohnansprüche oder wegen vorzeitiger Auflösung des Arbeitsverhältnisses Entschädigungsansprüche zustehen ( Art. 11 Abs. 3 AVIG ). BGE 128 V 176 S. 178</w:t>
      </w:r>
    </w:p>
    <w:p>
      <w:r>
        <w:rPr>
          <w:b/>
        </w:rPr>
        <w:t>E. 2</w:t>
      </w:r>
    </w:p>
    <w:p>
      <w:r>
        <w:t>a) Die Vorinstanz vertritt gestützt auf den klaren Wortlaut von Art. 11 Abs. 3 AVIG und auf die in der Literatur geäusserten Meinungen die Auffassung, dass die Leistungen der Krankentaggeldversicherung weder Lohn- noch Entschädigungsansprüche im Sinne von Art. 11 Abs. 3 AVIG darstellten. b) Die Arbeitslosenkasse weist demgegenüber im Wesentlichen auf Art. 7 Abs. 1 lit. b UVV hin, wonach als Lohn im Sinne von Art. 3 Abs. 2 UVG (Ende der Versicherung bei Wegfall des Lohnes) auch Taggelder der obligatorischen Unfallversicherung, der Militärversicherung, der Invalidenversicherung und der Erwerbsersatzordnung sowie jene der Krankenkassen und privaten Kranken- und Unfallversicherer gelten, die die Lohnfortzahlung ersetzen. Somit träten Taggeldleistungen privater Krankenversicherer an die Stelle des primären Lohnanspruchs, was gemäss Art. 11 Abs. 3 AVIG zu einem nicht anrechenbaren Arbeitsausfall führe. Bei der von der M. AG bei der Visana für ihre Arbeitnehmerinnen und Arbeitnehmer abgeschlossenen Kollektiv-Krankentaggeldversicherung handle es sich um einen Vertrag, welcher unter Art. 7 Abs. 1 lit. b UVV falle. Und nach der Rechtsprechung beende die Auflösung des Arbeitsverhältnisses den Anspruch eines arbeitsunfähigen Arbeitnehmers auf Taggeld aus einer kollektiven Taggeldversicherung nach VVG nicht ( BGE 127 III 109 Erw. 3b). c) Der Auffassung der Arbeitslosenkasse kann aus folgenden Gründen nicht beigepflichtet werden. Nach dem klaren Wortlaut von Art. 7 Abs. 1 lit. b UVV geht es um Taggelder, die die Lohnfortzahlung ersetzen (vgl. dazu auch RKUV 1999 Nr. U 347 S. 472 Erw. 2b, 1997 Nr. U 282 S. 285 Erw. 4). Dies ist bei den im Dezember 2000 durch die Visana ausgerichteten Taggeldern gerade nicht der Fall, denn das Arbeitsverhältnis zwischen der Beschwerdegegnerin und der M. AG war Ende November 2000 beendet. Im Übrigen besitzen die Versicherten, zu deren Gunsten vom Arbeitgeber eine Kollektiv-Krankentaggeldversicherung abgeschlossen worden ist, einen direkten Forderungsanspruch gegenüber dem Versicherer ( BGE 122 V 81 , BGE 120 V 42 Erw. 3c/bb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